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7FF0" w14:textId="77777777" w:rsidR="00B607AB" w:rsidRDefault="008B4BA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07AB">
        <w:rPr>
          <w:noProof/>
          <w:sz w:val="2"/>
          <w:lang w:eastAsia="en-GB"/>
        </w:rPr>
        <w:drawing>
          <wp:inline distT="0" distB="0" distL="0" distR="0" wp14:anchorId="7F263700" wp14:editId="7818E46C">
            <wp:extent cx="3867150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D2C1" w14:textId="77777777" w:rsidR="00A84799" w:rsidRPr="00785CEC" w:rsidRDefault="00785CEC">
      <w:pPr>
        <w:rPr>
          <w:i/>
          <w:iCs/>
          <w:sz w:val="24"/>
          <w:szCs w:val="24"/>
        </w:rPr>
      </w:pPr>
      <w:r w:rsidRPr="00785CEC">
        <w:rPr>
          <w:b/>
          <w:bCs/>
          <w:i/>
          <w:iCs/>
          <w:sz w:val="24"/>
          <w:szCs w:val="24"/>
        </w:rPr>
        <w:t>PATIENT PARTICIPATION GROUP MEETING</w:t>
      </w:r>
      <w:r w:rsidR="00A84799" w:rsidRPr="00785CEC">
        <w:rPr>
          <w:b/>
          <w:bCs/>
          <w:i/>
          <w:iCs/>
          <w:sz w:val="24"/>
          <w:szCs w:val="24"/>
        </w:rPr>
        <w:tab/>
      </w:r>
      <w:r w:rsidR="00A84799" w:rsidRPr="00785CEC">
        <w:rPr>
          <w:b/>
          <w:bCs/>
          <w:i/>
          <w:iCs/>
          <w:sz w:val="24"/>
          <w:szCs w:val="24"/>
        </w:rPr>
        <w:tab/>
      </w:r>
      <w:r w:rsidR="00A84799" w:rsidRPr="00785CEC">
        <w:rPr>
          <w:b/>
          <w:bCs/>
          <w:i/>
          <w:iCs/>
          <w:sz w:val="24"/>
          <w:szCs w:val="24"/>
        </w:rPr>
        <w:tab/>
      </w:r>
      <w:r w:rsidR="005F0385" w:rsidRPr="00785CEC">
        <w:rPr>
          <w:b/>
          <w:bCs/>
          <w:i/>
          <w:iCs/>
          <w:sz w:val="24"/>
          <w:szCs w:val="24"/>
        </w:rPr>
        <w:t>DATE:</w:t>
      </w:r>
      <w:r w:rsidR="00577486" w:rsidRPr="00785CEC">
        <w:rPr>
          <w:b/>
          <w:bCs/>
          <w:i/>
          <w:iCs/>
          <w:sz w:val="24"/>
          <w:szCs w:val="24"/>
        </w:rPr>
        <w:t xml:space="preserve"> </w:t>
      </w:r>
      <w:r w:rsidR="008B4BA9">
        <w:rPr>
          <w:b/>
          <w:bCs/>
          <w:i/>
          <w:iCs/>
          <w:sz w:val="24"/>
          <w:szCs w:val="24"/>
        </w:rPr>
        <w:t>25/11/25 at 13.30</w:t>
      </w:r>
      <w:r w:rsidRPr="00785CEC">
        <w:rPr>
          <w:b/>
          <w:bCs/>
          <w:i/>
          <w:i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5240"/>
        <w:gridCol w:w="2966"/>
      </w:tblGrid>
      <w:tr w:rsidR="006B620D" w14:paraId="1A3C853C" w14:textId="77777777" w:rsidTr="001A08CF">
        <w:tc>
          <w:tcPr>
            <w:tcW w:w="810" w:type="dxa"/>
          </w:tcPr>
          <w:p w14:paraId="7D3A3BA2" w14:textId="77777777" w:rsidR="006B620D" w:rsidRPr="00361CCF" w:rsidRDefault="006B620D" w:rsidP="00765512">
            <w:pPr>
              <w:rPr>
                <w:b/>
              </w:rPr>
            </w:pPr>
          </w:p>
        </w:tc>
        <w:tc>
          <w:tcPr>
            <w:tcW w:w="5240" w:type="dxa"/>
          </w:tcPr>
          <w:p w14:paraId="3E0EAA11" w14:textId="77777777" w:rsidR="006B620D" w:rsidRPr="00361CCF" w:rsidRDefault="006B620D" w:rsidP="00765512">
            <w:pPr>
              <w:rPr>
                <w:b/>
              </w:rPr>
            </w:pPr>
            <w:r w:rsidRPr="00361CCF">
              <w:rPr>
                <w:b/>
              </w:rPr>
              <w:t>Description</w:t>
            </w:r>
          </w:p>
        </w:tc>
        <w:tc>
          <w:tcPr>
            <w:tcW w:w="2966" w:type="dxa"/>
          </w:tcPr>
          <w:p w14:paraId="539F1D86" w14:textId="77777777" w:rsidR="006B620D" w:rsidRPr="00361CCF" w:rsidRDefault="00212222" w:rsidP="00765512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6B620D" w14:paraId="6A34B37C" w14:textId="77777777" w:rsidTr="001A08CF">
        <w:tc>
          <w:tcPr>
            <w:tcW w:w="810" w:type="dxa"/>
          </w:tcPr>
          <w:p w14:paraId="1ED00353" w14:textId="77777777" w:rsidR="006B620D" w:rsidRDefault="006B620D" w:rsidP="00765512">
            <w:r>
              <w:t>1</w:t>
            </w:r>
          </w:p>
        </w:tc>
        <w:tc>
          <w:tcPr>
            <w:tcW w:w="5240" w:type="dxa"/>
          </w:tcPr>
          <w:p w14:paraId="2D1C474B" w14:textId="52FF248F" w:rsidR="00AB7A87" w:rsidRDefault="00785CEC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  <w:r w:rsidRPr="00785CEC">
              <w:rPr>
                <w:b/>
                <w:bCs/>
                <w:i/>
                <w:iCs/>
                <w:color w:val="1F1F1E"/>
                <w:sz w:val="26"/>
                <w:szCs w:val="26"/>
              </w:rPr>
              <w:t>In attendance</w:t>
            </w:r>
            <w:r>
              <w:rPr>
                <w:i/>
                <w:iCs/>
                <w:color w:val="1F1F1E"/>
                <w:sz w:val="26"/>
                <w:szCs w:val="26"/>
              </w:rPr>
              <w:t xml:space="preserve">: Liz </w:t>
            </w:r>
            <w:proofErr w:type="spellStart"/>
            <w:r>
              <w:rPr>
                <w:i/>
                <w:iCs/>
                <w:color w:val="1F1F1E"/>
                <w:sz w:val="26"/>
                <w:szCs w:val="26"/>
              </w:rPr>
              <w:t>Heimes,</w:t>
            </w:r>
            <w:proofErr w:type="spellEnd"/>
            <w:r>
              <w:rPr>
                <w:i/>
                <w:iCs/>
                <w:color w:val="1F1F1E"/>
                <w:sz w:val="26"/>
                <w:szCs w:val="26"/>
              </w:rPr>
              <w:t xml:space="preserve"> </w:t>
            </w:r>
            <w:r w:rsidR="000B218B">
              <w:rPr>
                <w:i/>
                <w:iCs/>
                <w:color w:val="1F1F1E"/>
                <w:sz w:val="26"/>
                <w:szCs w:val="26"/>
              </w:rPr>
              <w:t>Sta</w:t>
            </w:r>
            <w:r w:rsidR="0079766A">
              <w:rPr>
                <w:i/>
                <w:iCs/>
                <w:color w:val="1F1F1E"/>
                <w:sz w:val="26"/>
                <w:szCs w:val="26"/>
              </w:rPr>
              <w:t>cey Ramsden, John Ogle,</w:t>
            </w:r>
            <w:r w:rsidR="008B4BA9">
              <w:rPr>
                <w:i/>
                <w:iCs/>
                <w:color w:val="1F1F1E"/>
                <w:sz w:val="26"/>
                <w:szCs w:val="26"/>
              </w:rPr>
              <w:t xml:space="preserve"> Margaret Ogle</w:t>
            </w:r>
            <w:r w:rsidR="006D4D8E">
              <w:rPr>
                <w:i/>
                <w:iCs/>
                <w:color w:val="1F1F1E"/>
                <w:sz w:val="26"/>
                <w:szCs w:val="26"/>
              </w:rPr>
              <w:t>, Anne Brown</w:t>
            </w:r>
            <w:r w:rsidR="008B4BA9">
              <w:rPr>
                <w:i/>
                <w:iCs/>
                <w:color w:val="1F1F1E"/>
                <w:sz w:val="26"/>
                <w:szCs w:val="26"/>
              </w:rPr>
              <w:t xml:space="preserve">                        </w:t>
            </w:r>
            <w:r w:rsidR="0079766A">
              <w:rPr>
                <w:i/>
                <w:iCs/>
                <w:color w:val="1F1F1E"/>
                <w:sz w:val="26"/>
                <w:szCs w:val="26"/>
              </w:rPr>
              <w:t xml:space="preserve"> </w:t>
            </w:r>
          </w:p>
          <w:p w14:paraId="30E7CE4E" w14:textId="77777777" w:rsidR="00AB7A87" w:rsidRDefault="008B4BA9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  <w:r>
              <w:rPr>
                <w:i/>
                <w:iCs/>
                <w:color w:val="1F1F1E"/>
                <w:sz w:val="26"/>
                <w:szCs w:val="26"/>
              </w:rPr>
              <w:t xml:space="preserve">                                       </w:t>
            </w:r>
          </w:p>
          <w:p w14:paraId="47E259CE" w14:textId="1A99674C" w:rsidR="00785CEC" w:rsidRDefault="00AB7A87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  <w:r>
              <w:rPr>
                <w:i/>
                <w:iCs/>
                <w:color w:val="1F1F1E"/>
                <w:sz w:val="26"/>
                <w:szCs w:val="26"/>
              </w:rPr>
              <w:t>Apologies:</w:t>
            </w:r>
            <w:r w:rsidR="008B4BA9">
              <w:rPr>
                <w:i/>
                <w:iCs/>
                <w:color w:val="1F1F1E"/>
                <w:sz w:val="26"/>
                <w:szCs w:val="26"/>
              </w:rPr>
              <w:t xml:space="preserve"> Atta Hanfa </w:t>
            </w:r>
          </w:p>
          <w:p w14:paraId="519C1B03" w14:textId="77777777" w:rsidR="00785CEC" w:rsidRDefault="008B4BA9" w:rsidP="00785CEC">
            <w:pPr>
              <w:pStyle w:val="Default"/>
              <w:rPr>
                <w:i/>
                <w:iCs/>
                <w:color w:val="1F1F1E"/>
                <w:sz w:val="26"/>
                <w:szCs w:val="26"/>
              </w:rPr>
            </w:pPr>
            <w:r>
              <w:rPr>
                <w:i/>
                <w:iCs/>
                <w:color w:val="1F1F1E"/>
                <w:sz w:val="26"/>
                <w:szCs w:val="26"/>
              </w:rPr>
              <w:t xml:space="preserve">                                     </w:t>
            </w:r>
          </w:p>
          <w:p w14:paraId="6CC5207F" w14:textId="77777777" w:rsidR="00212222" w:rsidRDefault="00212222" w:rsidP="000B218B">
            <w:pPr>
              <w:pStyle w:val="Default"/>
            </w:pPr>
          </w:p>
        </w:tc>
        <w:tc>
          <w:tcPr>
            <w:tcW w:w="2966" w:type="dxa"/>
          </w:tcPr>
          <w:p w14:paraId="617CA33E" w14:textId="77777777" w:rsidR="00851622" w:rsidRDefault="00851622" w:rsidP="00765512"/>
          <w:p w14:paraId="058F6C26" w14:textId="77777777" w:rsidR="00851622" w:rsidRDefault="00851622" w:rsidP="00765512"/>
        </w:tc>
      </w:tr>
      <w:tr w:rsidR="00ED7932" w14:paraId="1CB25CC5" w14:textId="77777777" w:rsidTr="001A08CF">
        <w:tc>
          <w:tcPr>
            <w:tcW w:w="810" w:type="dxa"/>
          </w:tcPr>
          <w:p w14:paraId="02D69968" w14:textId="77777777" w:rsidR="00ED7932" w:rsidRDefault="00ED7932" w:rsidP="00765512">
            <w:r>
              <w:t>2</w:t>
            </w:r>
          </w:p>
        </w:tc>
        <w:tc>
          <w:tcPr>
            <w:tcW w:w="5240" w:type="dxa"/>
          </w:tcPr>
          <w:p w14:paraId="2BA87164" w14:textId="3EB8C0D8" w:rsidR="00AB7A87" w:rsidRDefault="006D4D8E" w:rsidP="005B62B9">
            <w:pPr>
              <w:rPr>
                <w:rFonts w:asciiTheme="majorHAnsi" w:eastAsia="MS Gothic" w:hAnsiTheme="majorHAnsi"/>
                <w:b/>
                <w:bCs/>
                <w:u w:val="single"/>
              </w:rPr>
            </w:pPr>
            <w:r w:rsidRPr="006D4D8E">
              <w:rPr>
                <w:rFonts w:asciiTheme="majorHAnsi" w:eastAsia="MS Gothic" w:hAnsiTheme="majorHAnsi"/>
                <w:b/>
                <w:bCs/>
                <w:u w:val="single"/>
              </w:rPr>
              <w:t>Retirement of Ad</w:t>
            </w:r>
            <w:r>
              <w:rPr>
                <w:rFonts w:asciiTheme="majorHAnsi" w:eastAsia="MS Gothic" w:hAnsiTheme="majorHAnsi"/>
                <w:b/>
                <w:bCs/>
                <w:u w:val="single"/>
              </w:rPr>
              <w:t>r</w:t>
            </w:r>
            <w:r w:rsidRPr="006D4D8E">
              <w:rPr>
                <w:rFonts w:asciiTheme="majorHAnsi" w:eastAsia="MS Gothic" w:hAnsiTheme="majorHAnsi"/>
                <w:b/>
                <w:bCs/>
                <w:u w:val="single"/>
              </w:rPr>
              <w:t>ian Koskie from the PPG</w:t>
            </w:r>
          </w:p>
          <w:p w14:paraId="76FCC347" w14:textId="50CAF622" w:rsidR="006D4D8E" w:rsidRPr="006D4D8E" w:rsidRDefault="006D4D8E" w:rsidP="005B62B9">
            <w:pPr>
              <w:rPr>
                <w:rFonts w:asciiTheme="majorHAnsi" w:eastAsia="MS Gothic" w:hAnsiTheme="majorHAnsi"/>
              </w:rPr>
            </w:pPr>
            <w:r>
              <w:rPr>
                <w:rFonts w:asciiTheme="majorHAnsi" w:eastAsia="MS Gothic" w:hAnsiTheme="majorHAnsi"/>
              </w:rPr>
              <w:t>We would like to thank Adrian for all his help and support in the group.</w:t>
            </w:r>
          </w:p>
        </w:tc>
        <w:tc>
          <w:tcPr>
            <w:tcW w:w="2966" w:type="dxa"/>
          </w:tcPr>
          <w:p w14:paraId="59DC7826" w14:textId="77777777" w:rsidR="00ED7932" w:rsidRDefault="00ED7932" w:rsidP="00765512"/>
          <w:p w14:paraId="79FA1F4B" w14:textId="77777777" w:rsidR="000B218B" w:rsidRDefault="000B218B" w:rsidP="00765512"/>
          <w:p w14:paraId="0B8F8A1E" w14:textId="77777777" w:rsidR="000B218B" w:rsidRDefault="000B218B" w:rsidP="00765512"/>
        </w:tc>
      </w:tr>
      <w:tr w:rsidR="006D4D8E" w14:paraId="333B18E0" w14:textId="77777777" w:rsidTr="001A08CF">
        <w:tc>
          <w:tcPr>
            <w:tcW w:w="810" w:type="dxa"/>
          </w:tcPr>
          <w:p w14:paraId="019DAA11" w14:textId="77777777" w:rsidR="006D4D8E" w:rsidRPr="00785CEC" w:rsidRDefault="006D4D8E" w:rsidP="006D4D8E">
            <w:pPr>
              <w:rPr>
                <w:rFonts w:asciiTheme="majorHAnsi" w:hAnsiTheme="majorHAnsi"/>
              </w:rPr>
            </w:pPr>
            <w:r w:rsidRPr="00785CEC">
              <w:rPr>
                <w:rFonts w:asciiTheme="majorHAnsi" w:hAnsiTheme="majorHAnsi"/>
              </w:rPr>
              <w:t>3</w:t>
            </w:r>
          </w:p>
        </w:tc>
        <w:tc>
          <w:tcPr>
            <w:tcW w:w="5240" w:type="dxa"/>
          </w:tcPr>
          <w:p w14:paraId="7E8C7707" w14:textId="77777777" w:rsidR="006D4D8E" w:rsidRDefault="006D4D8E" w:rsidP="006D4D8E">
            <w:pPr>
              <w:rPr>
                <w:rFonts w:asciiTheme="majorHAnsi" w:eastAsia="MS Gothic" w:hAnsiTheme="majorHAnsi"/>
                <w:b/>
                <w:bCs/>
                <w:u w:val="single"/>
              </w:rPr>
            </w:pPr>
            <w:r w:rsidRPr="000B218B">
              <w:rPr>
                <w:rFonts w:asciiTheme="majorHAnsi" w:eastAsia="MS Gothic" w:hAnsiTheme="majorHAnsi"/>
                <w:b/>
                <w:bCs/>
                <w:u w:val="single"/>
              </w:rPr>
              <w:t xml:space="preserve">Minutes of last meeting </w:t>
            </w:r>
          </w:p>
          <w:p w14:paraId="20993D03" w14:textId="77777777" w:rsidR="006D4D8E" w:rsidRPr="006D4D8E" w:rsidRDefault="006D4D8E" w:rsidP="006D4D8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eastAsia="MS Gothic" w:hAnsiTheme="majorHAnsi"/>
              </w:rPr>
              <w:t>Minutes were approved from November 2025</w:t>
            </w:r>
            <w:r>
              <w:rPr>
                <w:rFonts w:asciiTheme="majorHAnsi" w:eastAsia="MS Gothic" w:hAnsiTheme="majorHAnsi"/>
              </w:rPr>
              <w:t xml:space="preserve">, EAH will add to board in the porch and add to the website </w:t>
            </w:r>
          </w:p>
          <w:p w14:paraId="2BF7D52D" w14:textId="11EFE8B4" w:rsidR="006D4D8E" w:rsidRPr="006D4D8E" w:rsidRDefault="006D4D8E" w:rsidP="006D4D8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D4D8E">
              <w:rPr>
                <w:rFonts w:asciiTheme="majorHAnsi" w:hAnsiTheme="majorHAnsi"/>
              </w:rPr>
              <w:t>Item</w:t>
            </w:r>
            <w:r>
              <w:rPr>
                <w:rFonts w:asciiTheme="majorHAnsi" w:hAnsiTheme="majorHAnsi"/>
              </w:rPr>
              <w:t>s outstanding from Minutes of last meeting: Newsletter.  It was decided to put this on hold for now.</w:t>
            </w:r>
          </w:p>
        </w:tc>
        <w:tc>
          <w:tcPr>
            <w:tcW w:w="2966" w:type="dxa"/>
          </w:tcPr>
          <w:p w14:paraId="5DB9E7BA" w14:textId="77777777" w:rsidR="006D4D8E" w:rsidRDefault="006D4D8E" w:rsidP="006D4D8E"/>
          <w:p w14:paraId="3FFBB63E" w14:textId="77777777" w:rsidR="006D4D8E" w:rsidRDefault="006D4D8E" w:rsidP="006D4D8E"/>
          <w:p w14:paraId="368B430A" w14:textId="77777777" w:rsidR="006D4D8E" w:rsidRDefault="006D4D8E" w:rsidP="006D4D8E"/>
          <w:p w14:paraId="17979A4C" w14:textId="1801ABCF" w:rsidR="006D4D8E" w:rsidRDefault="006D4D8E" w:rsidP="006D4D8E">
            <w:r>
              <w:t xml:space="preserve">EAH </w:t>
            </w:r>
          </w:p>
          <w:p w14:paraId="2E0709E9" w14:textId="77777777" w:rsidR="006D4D8E" w:rsidRDefault="006D4D8E" w:rsidP="006D4D8E"/>
          <w:p w14:paraId="5F14013D" w14:textId="77777777" w:rsidR="006D4D8E" w:rsidRDefault="006D4D8E" w:rsidP="006D4D8E"/>
          <w:p w14:paraId="1D8079F2" w14:textId="77777777" w:rsidR="006D4D8E" w:rsidRDefault="006D4D8E" w:rsidP="006D4D8E"/>
          <w:p w14:paraId="64D30B42" w14:textId="77777777" w:rsidR="006D4D8E" w:rsidRDefault="006D4D8E" w:rsidP="006D4D8E"/>
          <w:p w14:paraId="0F63D4B9" w14:textId="77777777" w:rsidR="006D4D8E" w:rsidRDefault="006D4D8E" w:rsidP="006D4D8E"/>
          <w:p w14:paraId="03E46659" w14:textId="77777777" w:rsidR="006D4D8E" w:rsidRDefault="006D4D8E" w:rsidP="006D4D8E"/>
          <w:p w14:paraId="6C370D17" w14:textId="77777777" w:rsidR="006D4D8E" w:rsidRDefault="006D4D8E" w:rsidP="006D4D8E"/>
          <w:p w14:paraId="16FE245E" w14:textId="77777777" w:rsidR="006D4D8E" w:rsidRDefault="006D4D8E" w:rsidP="006D4D8E"/>
          <w:p w14:paraId="2EC5EB1D" w14:textId="77777777" w:rsidR="006D4D8E" w:rsidRDefault="006D4D8E" w:rsidP="006D4D8E"/>
          <w:p w14:paraId="79D97D84" w14:textId="77777777" w:rsidR="006D4D8E" w:rsidRDefault="006D4D8E" w:rsidP="006D4D8E"/>
          <w:p w14:paraId="27B123D2" w14:textId="77777777" w:rsidR="006D4D8E" w:rsidRDefault="006D4D8E" w:rsidP="006D4D8E"/>
          <w:p w14:paraId="51B7F44C" w14:textId="77777777" w:rsidR="006D4D8E" w:rsidRDefault="006D4D8E" w:rsidP="006D4D8E"/>
          <w:p w14:paraId="1923EC9E" w14:textId="77777777" w:rsidR="006D4D8E" w:rsidRDefault="006D4D8E" w:rsidP="006D4D8E"/>
          <w:p w14:paraId="1239172F" w14:textId="77777777" w:rsidR="006D4D8E" w:rsidRDefault="006D4D8E" w:rsidP="006D4D8E"/>
        </w:tc>
      </w:tr>
      <w:tr w:rsidR="006D4D8E" w14:paraId="3189A9ED" w14:textId="77777777" w:rsidTr="001A08CF">
        <w:tc>
          <w:tcPr>
            <w:tcW w:w="810" w:type="dxa"/>
          </w:tcPr>
          <w:p w14:paraId="7D36290E" w14:textId="77777777" w:rsidR="006D4D8E" w:rsidRDefault="006D4D8E" w:rsidP="006D4D8E">
            <w:r>
              <w:t>4</w:t>
            </w:r>
          </w:p>
        </w:tc>
        <w:tc>
          <w:tcPr>
            <w:tcW w:w="5240" w:type="dxa"/>
          </w:tcPr>
          <w:p w14:paraId="21D1FC91" w14:textId="77777777" w:rsidR="006D4D8E" w:rsidRDefault="006D4D8E" w:rsidP="006D4D8E">
            <w:pPr>
              <w:rPr>
                <w:b/>
                <w:bCs/>
                <w:i/>
                <w:iCs/>
                <w:u w:val="single"/>
              </w:rPr>
            </w:pPr>
            <w:r w:rsidRPr="00AB7A87">
              <w:rPr>
                <w:b/>
                <w:bCs/>
                <w:i/>
                <w:iCs/>
                <w:u w:val="single"/>
              </w:rPr>
              <w:t>DNA’s</w:t>
            </w:r>
          </w:p>
          <w:p w14:paraId="0FD31188" w14:textId="080082EB" w:rsidR="006D4D8E" w:rsidRDefault="005F5C82" w:rsidP="006D4D8E">
            <w:r>
              <w:t>JO advised that there was still a problem converting the DNA video.  EAH will have a look at this, SR will forward to her</w:t>
            </w:r>
            <w:r w:rsidR="006D4D8E">
              <w:t xml:space="preserve"> </w:t>
            </w:r>
          </w:p>
          <w:p w14:paraId="2F54537E" w14:textId="77777777" w:rsidR="006D4D8E" w:rsidRPr="00AB7A87" w:rsidRDefault="006D4D8E" w:rsidP="006D4D8E"/>
        </w:tc>
        <w:tc>
          <w:tcPr>
            <w:tcW w:w="2966" w:type="dxa"/>
          </w:tcPr>
          <w:p w14:paraId="5113CE62" w14:textId="77777777" w:rsidR="006D4D8E" w:rsidRDefault="006D4D8E" w:rsidP="006D4D8E">
            <w:pPr>
              <w:rPr>
                <w:highlight w:val="yellow"/>
              </w:rPr>
            </w:pPr>
          </w:p>
          <w:p w14:paraId="7FE1559F" w14:textId="77777777" w:rsidR="006D4D8E" w:rsidRDefault="006D4D8E" w:rsidP="006D4D8E">
            <w:pPr>
              <w:rPr>
                <w:highlight w:val="yellow"/>
              </w:rPr>
            </w:pPr>
          </w:p>
          <w:p w14:paraId="029EB4AB" w14:textId="5F43E077" w:rsidR="006D4D8E" w:rsidRPr="00AB7A87" w:rsidRDefault="006D4D8E" w:rsidP="006D4D8E">
            <w:r w:rsidRPr="00AB7A87">
              <w:t xml:space="preserve">SR </w:t>
            </w:r>
            <w:r w:rsidR="005F5C82">
              <w:t>&amp; EAH</w:t>
            </w:r>
          </w:p>
          <w:p w14:paraId="1D85B9FF" w14:textId="77777777" w:rsidR="006D4D8E" w:rsidRDefault="006D4D8E" w:rsidP="006D4D8E">
            <w:pPr>
              <w:rPr>
                <w:highlight w:val="yellow"/>
              </w:rPr>
            </w:pPr>
          </w:p>
          <w:p w14:paraId="2E3D361F" w14:textId="77777777" w:rsidR="006D4D8E" w:rsidRDefault="006D4D8E" w:rsidP="006D4D8E">
            <w:pPr>
              <w:rPr>
                <w:highlight w:val="yellow"/>
              </w:rPr>
            </w:pPr>
          </w:p>
          <w:p w14:paraId="7D51FC81" w14:textId="77777777" w:rsidR="006D4D8E" w:rsidRDefault="006D4D8E" w:rsidP="006D4D8E">
            <w:pPr>
              <w:rPr>
                <w:highlight w:val="yellow"/>
              </w:rPr>
            </w:pPr>
          </w:p>
          <w:p w14:paraId="4D50D860" w14:textId="77777777" w:rsidR="006D4D8E" w:rsidRPr="00402269" w:rsidRDefault="006D4D8E" w:rsidP="006D4D8E">
            <w:pPr>
              <w:rPr>
                <w:highlight w:val="yellow"/>
              </w:rPr>
            </w:pPr>
          </w:p>
        </w:tc>
      </w:tr>
      <w:tr w:rsidR="006D4D8E" w14:paraId="78BA5E36" w14:textId="77777777" w:rsidTr="001A08CF">
        <w:trPr>
          <w:trHeight w:val="410"/>
        </w:trPr>
        <w:tc>
          <w:tcPr>
            <w:tcW w:w="810" w:type="dxa"/>
          </w:tcPr>
          <w:p w14:paraId="0948B4C7" w14:textId="77777777" w:rsidR="006D4D8E" w:rsidRDefault="006D4D8E" w:rsidP="006D4D8E">
            <w:r>
              <w:t>5</w:t>
            </w:r>
          </w:p>
        </w:tc>
        <w:tc>
          <w:tcPr>
            <w:tcW w:w="5240" w:type="dxa"/>
          </w:tcPr>
          <w:p w14:paraId="595D53F7" w14:textId="572325F4" w:rsidR="006D4D8E" w:rsidRPr="005F5C82" w:rsidRDefault="005F5C82" w:rsidP="006D4D8E">
            <w:pPr>
              <w:shd w:val="clear" w:color="auto" w:fill="FFFFFF"/>
              <w:textAlignment w:val="baseline"/>
              <w:rPr>
                <w:b/>
                <w:bCs/>
                <w:u w:val="single"/>
              </w:rPr>
            </w:pPr>
            <w:r w:rsidRPr="005F5C82">
              <w:rPr>
                <w:b/>
                <w:bCs/>
                <w:u w:val="single"/>
              </w:rPr>
              <w:t>Triage service</w:t>
            </w:r>
          </w:p>
          <w:p w14:paraId="6C6B03E5" w14:textId="72D230E4" w:rsidR="006D4D8E" w:rsidRPr="00AB7A87" w:rsidRDefault="005F5C82" w:rsidP="006D4D8E">
            <w:pPr>
              <w:shd w:val="clear" w:color="auto" w:fill="FFFFFF"/>
              <w:textAlignment w:val="baseline"/>
            </w:pPr>
            <w:r>
              <w:t xml:space="preserve">The group asked which service the practice were going to use.  EAH advised that the ICB had offered 2 services </w:t>
            </w:r>
            <w:proofErr w:type="spellStart"/>
            <w:r>
              <w:t>AccuRx</w:t>
            </w:r>
            <w:proofErr w:type="spellEnd"/>
            <w:r>
              <w:t xml:space="preserve"> and Patches.  The Birches has requested </w:t>
            </w:r>
            <w:proofErr w:type="spellStart"/>
            <w:r>
              <w:t>AccuRx</w:t>
            </w:r>
            <w:proofErr w:type="spellEnd"/>
            <w:r>
              <w:t xml:space="preserve"> </w:t>
            </w:r>
            <w:r>
              <w:lastRenderedPageBreak/>
              <w:t xml:space="preserve">and await response.  </w:t>
            </w:r>
            <w:proofErr w:type="spellStart"/>
            <w:r>
              <w:t>Iplato</w:t>
            </w:r>
            <w:proofErr w:type="spellEnd"/>
            <w:r>
              <w:t xml:space="preserve"> will run along side the new service for approximately 3 months.</w:t>
            </w:r>
          </w:p>
        </w:tc>
        <w:tc>
          <w:tcPr>
            <w:tcW w:w="2966" w:type="dxa"/>
          </w:tcPr>
          <w:p w14:paraId="608147E0" w14:textId="77777777" w:rsidR="006D4D8E" w:rsidRDefault="006D4D8E" w:rsidP="006D4D8E"/>
          <w:p w14:paraId="5AAF3490" w14:textId="77777777" w:rsidR="006D4D8E" w:rsidRDefault="006D4D8E" w:rsidP="006D4D8E"/>
          <w:p w14:paraId="0E807080" w14:textId="77777777" w:rsidR="006D4D8E" w:rsidRDefault="006D4D8E" w:rsidP="006D4D8E"/>
          <w:p w14:paraId="70689F76" w14:textId="77777777" w:rsidR="006D4D8E" w:rsidRDefault="006D4D8E" w:rsidP="006D4D8E"/>
        </w:tc>
      </w:tr>
      <w:tr w:rsidR="006D4D8E" w14:paraId="488E96D2" w14:textId="77777777" w:rsidTr="001A08CF">
        <w:trPr>
          <w:trHeight w:val="410"/>
        </w:trPr>
        <w:tc>
          <w:tcPr>
            <w:tcW w:w="810" w:type="dxa"/>
          </w:tcPr>
          <w:p w14:paraId="20BD30A2" w14:textId="77777777" w:rsidR="006D4D8E" w:rsidRDefault="006D4D8E" w:rsidP="006D4D8E">
            <w:r>
              <w:t>6.</w:t>
            </w:r>
          </w:p>
          <w:p w14:paraId="14FF89CD" w14:textId="77777777" w:rsidR="006D4D8E" w:rsidRDefault="006D4D8E" w:rsidP="006D4D8E"/>
        </w:tc>
        <w:tc>
          <w:tcPr>
            <w:tcW w:w="5240" w:type="dxa"/>
          </w:tcPr>
          <w:p w14:paraId="2A5633DF" w14:textId="4B2BA220" w:rsidR="006D4D8E" w:rsidRPr="00AB7A87" w:rsidRDefault="006D4D8E" w:rsidP="006D4D8E">
            <w:pPr>
              <w:rPr>
                <w:b/>
                <w:bCs/>
                <w:u w:val="single"/>
              </w:rPr>
            </w:pPr>
            <w:r w:rsidRPr="00AB7A87">
              <w:rPr>
                <w:b/>
                <w:bCs/>
                <w:u w:val="single"/>
              </w:rPr>
              <w:t xml:space="preserve"> S</w:t>
            </w:r>
            <w:r w:rsidR="005F5C82">
              <w:rPr>
                <w:b/>
                <w:bCs/>
                <w:u w:val="single"/>
              </w:rPr>
              <w:t>taff &amp; Clinical sessions</w:t>
            </w:r>
          </w:p>
          <w:p w14:paraId="4810C6E8" w14:textId="1F72FC20" w:rsidR="006D4D8E" w:rsidRDefault="005F5C82" w:rsidP="006D4D8E">
            <w:r>
              <w:t xml:space="preserve">EAH advised that we have a new salaried GP working at the practice 6 sessions per week Dr Chi </w:t>
            </w:r>
            <w:proofErr w:type="spellStart"/>
            <w:r>
              <w:t>Osisiogu</w:t>
            </w:r>
            <w:proofErr w:type="spellEnd"/>
            <w:r>
              <w:t xml:space="preserve">.  He will be working 8 </w:t>
            </w:r>
            <w:proofErr w:type="gramStart"/>
            <w:r>
              <w:t>session</w:t>
            </w:r>
            <w:proofErr w:type="gramEnd"/>
            <w:r>
              <w:t xml:space="preserve"> until the end of March then dropping to 6 session, Monday, Thursday and Friday.</w:t>
            </w:r>
          </w:p>
          <w:p w14:paraId="23856B84" w14:textId="77777777" w:rsidR="005F5C82" w:rsidRDefault="005F5C82" w:rsidP="006D4D8E"/>
          <w:p w14:paraId="01F473BD" w14:textId="02C94C26" w:rsidR="005F5C82" w:rsidRDefault="005F5C82" w:rsidP="006D4D8E">
            <w:r>
              <w:t>Jen is our new receptionist working Tuesday, Wednesday and Friday mornings.</w:t>
            </w:r>
          </w:p>
          <w:p w14:paraId="280D1379" w14:textId="77777777" w:rsidR="005F5C82" w:rsidRDefault="005F5C82" w:rsidP="006D4D8E"/>
          <w:p w14:paraId="549D81EB" w14:textId="400BC30A" w:rsidR="005F5C82" w:rsidRDefault="005F5C82" w:rsidP="006D4D8E">
            <w:r>
              <w:t>Dr Harris has announced her retirement in July after working at the practice for 25 years, will be sad to see her leave.</w:t>
            </w:r>
          </w:p>
          <w:p w14:paraId="286B8600" w14:textId="04AA981D" w:rsidR="006D4D8E" w:rsidRPr="00AB7A87" w:rsidRDefault="006D4D8E" w:rsidP="006D4D8E"/>
        </w:tc>
        <w:tc>
          <w:tcPr>
            <w:tcW w:w="2966" w:type="dxa"/>
          </w:tcPr>
          <w:p w14:paraId="40008657" w14:textId="77777777" w:rsidR="006D4D8E" w:rsidRDefault="006D4D8E" w:rsidP="006D4D8E"/>
          <w:p w14:paraId="6F2E975C" w14:textId="77777777" w:rsidR="006D4D8E" w:rsidRDefault="006D4D8E" w:rsidP="006D4D8E"/>
          <w:p w14:paraId="6971A9DE" w14:textId="77777777" w:rsidR="006D4D8E" w:rsidRDefault="006D4D8E" w:rsidP="006D4D8E"/>
        </w:tc>
      </w:tr>
      <w:tr w:rsidR="006D4D8E" w14:paraId="3180CFD2" w14:textId="77777777" w:rsidTr="001A08CF">
        <w:trPr>
          <w:trHeight w:val="410"/>
        </w:trPr>
        <w:tc>
          <w:tcPr>
            <w:tcW w:w="810" w:type="dxa"/>
          </w:tcPr>
          <w:p w14:paraId="213CC2B8" w14:textId="77777777" w:rsidR="006D4D8E" w:rsidRPr="00F17094" w:rsidRDefault="006D4D8E" w:rsidP="006D4D8E">
            <w:pPr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5240" w:type="dxa"/>
          </w:tcPr>
          <w:p w14:paraId="0A0E0228" w14:textId="77777777" w:rsidR="006D4D8E" w:rsidRDefault="005F5C82" w:rsidP="006D4D8E">
            <w:pPr>
              <w:rPr>
                <w:b/>
                <w:bCs/>
                <w:u w:val="single"/>
              </w:rPr>
            </w:pPr>
            <w:r w:rsidRPr="005F5C82">
              <w:rPr>
                <w:b/>
                <w:bCs/>
                <w:u w:val="single"/>
              </w:rPr>
              <w:t>Students</w:t>
            </w:r>
          </w:p>
          <w:p w14:paraId="189C04C2" w14:textId="77777777" w:rsidR="005F5C82" w:rsidRDefault="005F5C82" w:rsidP="006D4D8E">
            <w:r>
              <w:t xml:space="preserve">The practice </w:t>
            </w:r>
            <w:proofErr w:type="gramStart"/>
            <w:r>
              <w:t>are</w:t>
            </w:r>
            <w:proofErr w:type="gramEnd"/>
            <w:r>
              <w:t xml:space="preserve"> helping podiatry students by shadowing the team.  We have had 2 students up to now.</w:t>
            </w:r>
          </w:p>
          <w:p w14:paraId="2C11A02A" w14:textId="77777777" w:rsidR="005F5C82" w:rsidRDefault="005F5C82" w:rsidP="006D4D8E"/>
          <w:p w14:paraId="47CDFFF3" w14:textId="1A8F0DC0" w:rsidR="005F5C82" w:rsidRPr="005F5C82" w:rsidRDefault="005F5C82" w:rsidP="006D4D8E">
            <w:r>
              <w:t>The practice will be having a work experience student shadow the nursing team in March.</w:t>
            </w:r>
          </w:p>
        </w:tc>
        <w:tc>
          <w:tcPr>
            <w:tcW w:w="2966" w:type="dxa"/>
          </w:tcPr>
          <w:p w14:paraId="44E0E997" w14:textId="77777777" w:rsidR="006D4D8E" w:rsidRDefault="006D4D8E" w:rsidP="006D4D8E"/>
          <w:p w14:paraId="036E174E" w14:textId="77777777" w:rsidR="006D4D8E" w:rsidRDefault="006D4D8E" w:rsidP="006D4D8E"/>
        </w:tc>
      </w:tr>
      <w:tr w:rsidR="006D4D8E" w14:paraId="73629D82" w14:textId="77777777" w:rsidTr="001A08CF">
        <w:tc>
          <w:tcPr>
            <w:tcW w:w="810" w:type="dxa"/>
          </w:tcPr>
          <w:p w14:paraId="35B185E1" w14:textId="77777777" w:rsidR="006D4D8E" w:rsidRDefault="006D4D8E" w:rsidP="006D4D8E">
            <w:r>
              <w:t>8</w:t>
            </w:r>
          </w:p>
        </w:tc>
        <w:tc>
          <w:tcPr>
            <w:tcW w:w="5240" w:type="dxa"/>
          </w:tcPr>
          <w:p w14:paraId="4F1FDD8A" w14:textId="77777777" w:rsidR="005F5C82" w:rsidRDefault="005F5C82" w:rsidP="005F5C8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ANY OTHER BUSINESS</w:t>
            </w:r>
          </w:p>
          <w:p w14:paraId="7855C09C" w14:textId="72276291" w:rsidR="006D4D8E" w:rsidRDefault="005F5C82" w:rsidP="006D4D8E">
            <w:r>
              <w:t xml:space="preserve">The group asked if the practice were to start minor surgery again.  Unfortunately, Dr Ali had done refresher training at </w:t>
            </w:r>
            <w:proofErr w:type="spellStart"/>
            <w:r>
              <w:t>Bardoc</w:t>
            </w:r>
            <w:proofErr w:type="spellEnd"/>
            <w:r>
              <w:t xml:space="preserve"> but has now left the practice.  This will be something the practice does wish to do in the future.</w:t>
            </w:r>
          </w:p>
          <w:p w14:paraId="6E35A9EF" w14:textId="77777777" w:rsidR="005F5C82" w:rsidRDefault="005F5C82" w:rsidP="006D4D8E"/>
          <w:p w14:paraId="76970938" w14:textId="43C9F8C3" w:rsidR="005F5C82" w:rsidRDefault="005F5C82" w:rsidP="006D4D8E">
            <w:r>
              <w:t xml:space="preserve">EAH thought that the practice can refer to </w:t>
            </w:r>
            <w:proofErr w:type="spellStart"/>
            <w:r>
              <w:t>Bardoc</w:t>
            </w:r>
            <w:proofErr w:type="spellEnd"/>
            <w:r>
              <w:t xml:space="preserve"> Rock Health for Minor surgery, SR was not aware of this.  EAH to look at information. </w:t>
            </w:r>
          </w:p>
          <w:p w14:paraId="6E9A6A08" w14:textId="076D903C" w:rsidR="005F5C82" w:rsidRPr="003A1918" w:rsidRDefault="005F5C82" w:rsidP="006D4D8E"/>
        </w:tc>
        <w:tc>
          <w:tcPr>
            <w:tcW w:w="2966" w:type="dxa"/>
          </w:tcPr>
          <w:p w14:paraId="13B07EF1" w14:textId="77777777" w:rsidR="006D4D8E" w:rsidRDefault="006D4D8E" w:rsidP="006D4D8E"/>
          <w:p w14:paraId="7F3ABB48" w14:textId="77777777" w:rsidR="005F5C82" w:rsidRDefault="005F5C82" w:rsidP="006D4D8E"/>
          <w:p w14:paraId="3F3D634F" w14:textId="77777777" w:rsidR="005F5C82" w:rsidRDefault="005F5C82" w:rsidP="006D4D8E"/>
          <w:p w14:paraId="73E7C647" w14:textId="77777777" w:rsidR="005F5C82" w:rsidRDefault="005F5C82" w:rsidP="006D4D8E"/>
          <w:p w14:paraId="48B44864" w14:textId="77777777" w:rsidR="005F5C82" w:rsidRDefault="005F5C82" w:rsidP="006D4D8E"/>
          <w:p w14:paraId="7F128D7C" w14:textId="77777777" w:rsidR="005F5C82" w:rsidRDefault="005F5C82" w:rsidP="006D4D8E"/>
          <w:p w14:paraId="4FB92609" w14:textId="77777777" w:rsidR="005F5C82" w:rsidRDefault="005F5C82" w:rsidP="006D4D8E"/>
          <w:p w14:paraId="34E2945E" w14:textId="6F542BA7" w:rsidR="005F5C82" w:rsidRDefault="005F5C82" w:rsidP="006D4D8E">
            <w:r>
              <w:t>EAH</w:t>
            </w:r>
          </w:p>
        </w:tc>
      </w:tr>
      <w:tr w:rsidR="006D4D8E" w14:paraId="1215AC5B" w14:textId="77777777" w:rsidTr="001A08CF">
        <w:tc>
          <w:tcPr>
            <w:tcW w:w="810" w:type="dxa"/>
          </w:tcPr>
          <w:p w14:paraId="29416962" w14:textId="451FAC2C" w:rsidR="006D4D8E" w:rsidRDefault="005F5C82" w:rsidP="006D4D8E">
            <w:r>
              <w:t>9</w:t>
            </w:r>
          </w:p>
        </w:tc>
        <w:tc>
          <w:tcPr>
            <w:tcW w:w="5240" w:type="dxa"/>
          </w:tcPr>
          <w:p w14:paraId="71201374" w14:textId="77777777" w:rsidR="006D4D8E" w:rsidRDefault="005F5C82" w:rsidP="006D4D8E">
            <w:pPr>
              <w:rPr>
                <w:b/>
                <w:bCs/>
                <w:u w:val="single"/>
              </w:rPr>
            </w:pPr>
            <w:r w:rsidRPr="005F5C82">
              <w:rPr>
                <w:b/>
                <w:bCs/>
                <w:u w:val="single"/>
              </w:rPr>
              <w:t>Survey</w:t>
            </w:r>
          </w:p>
          <w:p w14:paraId="60B187FA" w14:textId="77777777" w:rsidR="005F5C82" w:rsidRDefault="005F5C82" w:rsidP="006D4D8E">
            <w:r>
              <w:t xml:space="preserve">EAH advised that the practice had started a survey.  The group would be happy to help with this.  </w:t>
            </w:r>
          </w:p>
          <w:p w14:paraId="2A2A2AC2" w14:textId="77777777" w:rsidR="005F5C82" w:rsidRDefault="005F5C82" w:rsidP="006D4D8E">
            <w:r>
              <w:t>The annual practice survey received 24% replies, 456 sent and 111 responded.</w:t>
            </w:r>
          </w:p>
          <w:p w14:paraId="58847C54" w14:textId="077237E9" w:rsidR="005F5C82" w:rsidRPr="005F5C82" w:rsidRDefault="005F5C82" w:rsidP="006D4D8E">
            <w:r>
              <w:t>It was agreed to aim for at least 200 responses.</w:t>
            </w:r>
          </w:p>
        </w:tc>
        <w:tc>
          <w:tcPr>
            <w:tcW w:w="2966" w:type="dxa"/>
          </w:tcPr>
          <w:p w14:paraId="6DA29AB3" w14:textId="77777777" w:rsidR="006D4D8E" w:rsidRPr="005B62B9" w:rsidRDefault="006D4D8E" w:rsidP="006D4D8E">
            <w:pPr>
              <w:rPr>
                <w:b/>
                <w:bCs/>
              </w:rPr>
            </w:pPr>
          </w:p>
        </w:tc>
      </w:tr>
      <w:tr w:rsidR="006D4D8E" w14:paraId="0FF36273" w14:textId="77777777" w:rsidTr="001A08CF">
        <w:tc>
          <w:tcPr>
            <w:tcW w:w="810" w:type="dxa"/>
          </w:tcPr>
          <w:p w14:paraId="6481E51D" w14:textId="39FFE413" w:rsidR="006D4D8E" w:rsidRDefault="006D4D8E" w:rsidP="006D4D8E"/>
        </w:tc>
        <w:tc>
          <w:tcPr>
            <w:tcW w:w="5240" w:type="dxa"/>
          </w:tcPr>
          <w:p w14:paraId="2D9F9453" w14:textId="77777777" w:rsidR="006D4D8E" w:rsidRDefault="006D4D8E" w:rsidP="006D4D8E">
            <w:pPr>
              <w:rPr>
                <w:b/>
                <w:bCs/>
                <w:u w:val="single"/>
              </w:rPr>
            </w:pPr>
          </w:p>
          <w:p w14:paraId="4376F30E" w14:textId="77777777" w:rsidR="006D4D8E" w:rsidRPr="00785CEC" w:rsidRDefault="006D4D8E" w:rsidP="005F5C82"/>
        </w:tc>
        <w:tc>
          <w:tcPr>
            <w:tcW w:w="2966" w:type="dxa"/>
          </w:tcPr>
          <w:p w14:paraId="45574AA2" w14:textId="77777777" w:rsidR="006D4D8E" w:rsidRDefault="006D4D8E" w:rsidP="006D4D8E"/>
          <w:p w14:paraId="40D70DEE" w14:textId="77777777" w:rsidR="006D4D8E" w:rsidRDefault="006D4D8E" w:rsidP="006D4D8E"/>
          <w:p w14:paraId="153E3E94" w14:textId="77777777" w:rsidR="006D4D8E" w:rsidRPr="00785CEC" w:rsidRDefault="006D4D8E" w:rsidP="006D4D8E">
            <w:pPr>
              <w:rPr>
                <w:b/>
                <w:bCs/>
              </w:rPr>
            </w:pPr>
          </w:p>
        </w:tc>
      </w:tr>
      <w:tr w:rsidR="006D4D8E" w14:paraId="0CD87FC8" w14:textId="77777777" w:rsidTr="001A08CF">
        <w:tc>
          <w:tcPr>
            <w:tcW w:w="810" w:type="dxa"/>
          </w:tcPr>
          <w:p w14:paraId="07148F7A" w14:textId="77777777" w:rsidR="006D4D8E" w:rsidRDefault="006D4D8E" w:rsidP="006D4D8E"/>
        </w:tc>
        <w:tc>
          <w:tcPr>
            <w:tcW w:w="5240" w:type="dxa"/>
          </w:tcPr>
          <w:p w14:paraId="3AD0E98D" w14:textId="7EA96F4C" w:rsidR="006D4D8E" w:rsidRPr="003A1918" w:rsidRDefault="006D4D8E" w:rsidP="006D4D8E">
            <w:pPr>
              <w:rPr>
                <w:sz w:val="28"/>
                <w:szCs w:val="28"/>
              </w:rPr>
            </w:pPr>
            <w:r w:rsidRPr="003A1918">
              <w:rPr>
                <w:b/>
                <w:bCs/>
                <w:sz w:val="28"/>
                <w:szCs w:val="28"/>
              </w:rPr>
              <w:t>Next PPG Meeting: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3A1918">
              <w:rPr>
                <w:b/>
                <w:bCs/>
                <w:sz w:val="28"/>
                <w:szCs w:val="28"/>
              </w:rPr>
              <w:t xml:space="preserve">Tuesday </w:t>
            </w:r>
            <w:r w:rsidR="005F5C82">
              <w:rPr>
                <w:b/>
                <w:bCs/>
                <w:sz w:val="28"/>
                <w:szCs w:val="28"/>
              </w:rPr>
              <w:t>19</w:t>
            </w:r>
            <w:r w:rsidR="005F5C82" w:rsidRPr="005F5C82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5F5C82">
              <w:rPr>
                <w:b/>
                <w:bCs/>
                <w:sz w:val="28"/>
                <w:szCs w:val="28"/>
              </w:rPr>
              <w:t xml:space="preserve"> May</w:t>
            </w:r>
            <w:r w:rsidRPr="003A1918">
              <w:rPr>
                <w:b/>
                <w:bCs/>
                <w:sz w:val="28"/>
                <w:szCs w:val="28"/>
              </w:rPr>
              <w:t xml:space="preserve"> 2026</w:t>
            </w:r>
          </w:p>
          <w:p w14:paraId="7B9CA2D5" w14:textId="77777777" w:rsidR="006D4D8E" w:rsidRPr="00785CEC" w:rsidRDefault="006D4D8E" w:rsidP="006D4D8E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966" w:type="dxa"/>
          </w:tcPr>
          <w:p w14:paraId="431FB2B3" w14:textId="77777777" w:rsidR="006D4D8E" w:rsidRDefault="006D4D8E" w:rsidP="006D4D8E"/>
          <w:p w14:paraId="32175778" w14:textId="77777777" w:rsidR="006D4D8E" w:rsidRDefault="006D4D8E" w:rsidP="006D4D8E"/>
          <w:p w14:paraId="44835349" w14:textId="77777777" w:rsidR="006D4D8E" w:rsidRDefault="006D4D8E" w:rsidP="006D4D8E"/>
          <w:p w14:paraId="7D1EF64D" w14:textId="77777777" w:rsidR="006D4D8E" w:rsidRDefault="006D4D8E" w:rsidP="006D4D8E"/>
          <w:p w14:paraId="27DBDF8F" w14:textId="77777777" w:rsidR="006D4D8E" w:rsidRDefault="006D4D8E" w:rsidP="006D4D8E"/>
          <w:p w14:paraId="391C46E5" w14:textId="77777777" w:rsidR="006D4D8E" w:rsidRDefault="006D4D8E" w:rsidP="006D4D8E"/>
        </w:tc>
      </w:tr>
    </w:tbl>
    <w:p w14:paraId="68AAE529" w14:textId="77777777" w:rsidR="008516EE" w:rsidRPr="003A1918" w:rsidRDefault="008516EE" w:rsidP="003A1918">
      <w:pPr>
        <w:rPr>
          <w:sz w:val="28"/>
          <w:szCs w:val="28"/>
        </w:rPr>
      </w:pPr>
    </w:p>
    <w:sectPr w:rsidR="008516EE" w:rsidRPr="003A1918" w:rsidSect="00CF1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03E"/>
    <w:multiLevelType w:val="hybridMultilevel"/>
    <w:tmpl w:val="49EA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979AF"/>
    <w:multiLevelType w:val="hybridMultilevel"/>
    <w:tmpl w:val="DC72B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747B5"/>
    <w:multiLevelType w:val="multilevel"/>
    <w:tmpl w:val="78D2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282629">
    <w:abstractNumId w:val="1"/>
  </w:num>
  <w:num w:numId="2" w16cid:durableId="1395469415">
    <w:abstractNumId w:val="2"/>
  </w:num>
  <w:num w:numId="3" w16cid:durableId="61899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12"/>
    <w:rsid w:val="00013A63"/>
    <w:rsid w:val="000364F4"/>
    <w:rsid w:val="0007239A"/>
    <w:rsid w:val="000B218B"/>
    <w:rsid w:val="000F4CA6"/>
    <w:rsid w:val="000F59A4"/>
    <w:rsid w:val="001012D4"/>
    <w:rsid w:val="00125CF8"/>
    <w:rsid w:val="00153915"/>
    <w:rsid w:val="001656CE"/>
    <w:rsid w:val="0018537D"/>
    <w:rsid w:val="001A08CF"/>
    <w:rsid w:val="001B2B9A"/>
    <w:rsid w:val="001F5DB1"/>
    <w:rsid w:val="00212222"/>
    <w:rsid w:val="00221B19"/>
    <w:rsid w:val="00221C31"/>
    <w:rsid w:val="00225919"/>
    <w:rsid w:val="00233919"/>
    <w:rsid w:val="002C2F1A"/>
    <w:rsid w:val="002C5464"/>
    <w:rsid w:val="0031438E"/>
    <w:rsid w:val="00340180"/>
    <w:rsid w:val="003462E1"/>
    <w:rsid w:val="00346AF7"/>
    <w:rsid w:val="00361CCF"/>
    <w:rsid w:val="003779B6"/>
    <w:rsid w:val="00384F45"/>
    <w:rsid w:val="0038581C"/>
    <w:rsid w:val="003A1918"/>
    <w:rsid w:val="003A68B1"/>
    <w:rsid w:val="003D6925"/>
    <w:rsid w:val="003E2FCF"/>
    <w:rsid w:val="00402269"/>
    <w:rsid w:val="00417927"/>
    <w:rsid w:val="0049042B"/>
    <w:rsid w:val="004A25B3"/>
    <w:rsid w:val="004B5077"/>
    <w:rsid w:val="004C7273"/>
    <w:rsid w:val="004F1D89"/>
    <w:rsid w:val="00505A53"/>
    <w:rsid w:val="00534E72"/>
    <w:rsid w:val="005357F8"/>
    <w:rsid w:val="00577486"/>
    <w:rsid w:val="00597090"/>
    <w:rsid w:val="005B62B9"/>
    <w:rsid w:val="005C4B69"/>
    <w:rsid w:val="005C6443"/>
    <w:rsid w:val="005F0385"/>
    <w:rsid w:val="005F580B"/>
    <w:rsid w:val="005F5B50"/>
    <w:rsid w:val="005F5C82"/>
    <w:rsid w:val="00603572"/>
    <w:rsid w:val="0064757F"/>
    <w:rsid w:val="00676D0D"/>
    <w:rsid w:val="0068138D"/>
    <w:rsid w:val="006B2B1A"/>
    <w:rsid w:val="006B620D"/>
    <w:rsid w:val="006D4D8E"/>
    <w:rsid w:val="006F1C39"/>
    <w:rsid w:val="006F495F"/>
    <w:rsid w:val="007123D9"/>
    <w:rsid w:val="00765512"/>
    <w:rsid w:val="00765C7C"/>
    <w:rsid w:val="0078276B"/>
    <w:rsid w:val="00785CEC"/>
    <w:rsid w:val="0079766A"/>
    <w:rsid w:val="007B0A5A"/>
    <w:rsid w:val="007B32D2"/>
    <w:rsid w:val="007B6C47"/>
    <w:rsid w:val="007D79A9"/>
    <w:rsid w:val="007F6ACD"/>
    <w:rsid w:val="0084717E"/>
    <w:rsid w:val="00847732"/>
    <w:rsid w:val="00851622"/>
    <w:rsid w:val="008516EE"/>
    <w:rsid w:val="00865DED"/>
    <w:rsid w:val="00872F72"/>
    <w:rsid w:val="008B4BA9"/>
    <w:rsid w:val="008B6529"/>
    <w:rsid w:val="008C2604"/>
    <w:rsid w:val="008D4C49"/>
    <w:rsid w:val="008F3BCF"/>
    <w:rsid w:val="0093080C"/>
    <w:rsid w:val="00930E31"/>
    <w:rsid w:val="00960644"/>
    <w:rsid w:val="00967363"/>
    <w:rsid w:val="00994E24"/>
    <w:rsid w:val="009B3BA9"/>
    <w:rsid w:val="00A279E4"/>
    <w:rsid w:val="00A46BF4"/>
    <w:rsid w:val="00A505C6"/>
    <w:rsid w:val="00A55560"/>
    <w:rsid w:val="00A84799"/>
    <w:rsid w:val="00AB6847"/>
    <w:rsid w:val="00AB7A87"/>
    <w:rsid w:val="00AC346D"/>
    <w:rsid w:val="00B11621"/>
    <w:rsid w:val="00B40CCB"/>
    <w:rsid w:val="00B607AB"/>
    <w:rsid w:val="00B8418B"/>
    <w:rsid w:val="00B93A11"/>
    <w:rsid w:val="00BB3B5A"/>
    <w:rsid w:val="00BB5316"/>
    <w:rsid w:val="00BC4D37"/>
    <w:rsid w:val="00BD087B"/>
    <w:rsid w:val="00C02E68"/>
    <w:rsid w:val="00C03844"/>
    <w:rsid w:val="00C17447"/>
    <w:rsid w:val="00C31FE1"/>
    <w:rsid w:val="00C42329"/>
    <w:rsid w:val="00C460DB"/>
    <w:rsid w:val="00C61FBD"/>
    <w:rsid w:val="00C77049"/>
    <w:rsid w:val="00C81A88"/>
    <w:rsid w:val="00CD383E"/>
    <w:rsid w:val="00CE376B"/>
    <w:rsid w:val="00CF1319"/>
    <w:rsid w:val="00CF5BD3"/>
    <w:rsid w:val="00D078B2"/>
    <w:rsid w:val="00D13B00"/>
    <w:rsid w:val="00D40362"/>
    <w:rsid w:val="00D65A6C"/>
    <w:rsid w:val="00D774CA"/>
    <w:rsid w:val="00D8152D"/>
    <w:rsid w:val="00DB0871"/>
    <w:rsid w:val="00DB21F0"/>
    <w:rsid w:val="00DD0EF2"/>
    <w:rsid w:val="00E13532"/>
    <w:rsid w:val="00E208A0"/>
    <w:rsid w:val="00E62AB2"/>
    <w:rsid w:val="00E81808"/>
    <w:rsid w:val="00E970F6"/>
    <w:rsid w:val="00EA5458"/>
    <w:rsid w:val="00EB31CE"/>
    <w:rsid w:val="00EC2B5C"/>
    <w:rsid w:val="00ED7932"/>
    <w:rsid w:val="00EF39D9"/>
    <w:rsid w:val="00F03A0A"/>
    <w:rsid w:val="00F17094"/>
    <w:rsid w:val="00F67381"/>
    <w:rsid w:val="00F747CA"/>
    <w:rsid w:val="00FC5C74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CE129F1"/>
  <w15:docId w15:val="{D0A292CF-D93B-4666-A90F-22DB9F7A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2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0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8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8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8A0"/>
    <w:rPr>
      <w:b/>
      <w:bCs/>
      <w:sz w:val="20"/>
      <w:szCs w:val="20"/>
    </w:rPr>
  </w:style>
  <w:style w:type="character" w:customStyle="1" w:styleId="markmjt11m8nc">
    <w:name w:val="markmjt11m8nc"/>
    <w:basedOn w:val="DefaultParagraphFont"/>
    <w:rsid w:val="00765C7C"/>
  </w:style>
  <w:style w:type="character" w:styleId="Hyperlink">
    <w:name w:val="Hyperlink"/>
    <w:basedOn w:val="DefaultParagraphFont"/>
    <w:uiPriority w:val="99"/>
    <w:semiHidden/>
    <w:unhideWhenUsed/>
    <w:rsid w:val="00765C7C"/>
    <w:rPr>
      <w:color w:val="0000FF"/>
      <w:u w:val="single"/>
    </w:rPr>
  </w:style>
  <w:style w:type="character" w:customStyle="1" w:styleId="marksj7l8edaq">
    <w:name w:val="marksj7l8edaq"/>
    <w:basedOn w:val="DefaultParagraphFont"/>
    <w:rsid w:val="00765C7C"/>
  </w:style>
  <w:style w:type="character" w:customStyle="1" w:styleId="mark6o8ug6qfs">
    <w:name w:val="mark6o8ug6qfs"/>
    <w:basedOn w:val="DefaultParagraphFont"/>
    <w:rsid w:val="00765C7C"/>
  </w:style>
  <w:style w:type="character" w:customStyle="1" w:styleId="markqgnv1uu6n">
    <w:name w:val="markqgnv1uu6n"/>
    <w:basedOn w:val="DefaultParagraphFont"/>
    <w:rsid w:val="00C02E68"/>
  </w:style>
  <w:style w:type="character" w:customStyle="1" w:styleId="markbiy5ee5fd">
    <w:name w:val="markbiy5ee5fd"/>
    <w:basedOn w:val="DefaultParagraphFont"/>
    <w:rsid w:val="00C02E68"/>
  </w:style>
  <w:style w:type="paragraph" w:customStyle="1" w:styleId="Default">
    <w:name w:val="Default"/>
    <w:rsid w:val="00785C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933016D-C0E5-449C-86B8-AE526FCE7841}">
  <we:reference id="0ee9814e-2fec-11ed-a261-0242ac120002" version="1.0.0.0" store="EXCatalog" storeType="EXCatalog"/>
  <we:alternateReferences>
    <we:reference id="WA200005323" version="1.0.0.0" store="en-GB" storeType="OMEX"/>
  </we:alternateReferences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lauren.barton</dc:creator>
  <cp:lastModifiedBy>HEIMES, Elizabeth (THE BIRCHES MEDICAL CENTRE - P83609)</cp:lastModifiedBy>
  <cp:revision>3</cp:revision>
  <cp:lastPrinted>2022-10-20T08:38:00Z</cp:lastPrinted>
  <dcterms:created xsi:type="dcterms:W3CDTF">2026-02-28T16:55:00Z</dcterms:created>
  <dcterms:modified xsi:type="dcterms:W3CDTF">2026-02-28T18:41:00Z</dcterms:modified>
</cp:coreProperties>
</file>